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sz w:val="44"/>
          <w:szCs w:val="44"/>
          <w:lang w:val="en-US" w:eastAsia="zh-CN"/>
        </w:rPr>
      </w:pPr>
      <w:r>
        <w:rPr>
          <w:rFonts w:hint="eastAsia"/>
          <w:b/>
          <w:bCs/>
          <w:sz w:val="44"/>
          <w:szCs w:val="44"/>
          <w:lang w:val="en-US" w:eastAsia="zh-CN"/>
        </w:rPr>
        <w:t>江西婺源茶业职业学院</w:t>
      </w:r>
      <w:bookmarkStart w:id="1" w:name="_GoBack"/>
      <w:bookmarkEnd w:id="1"/>
      <w:r>
        <w:rPr>
          <w:rFonts w:hint="eastAsia"/>
          <w:b/>
          <w:bCs/>
          <w:sz w:val="44"/>
          <w:szCs w:val="44"/>
          <w:lang w:eastAsia="zh-CN"/>
        </w:rPr>
        <w:t>“</w:t>
      </w:r>
      <w:r>
        <w:rPr>
          <w:rFonts w:hint="eastAsia"/>
          <w:b/>
          <w:bCs/>
          <w:sz w:val="44"/>
          <w:szCs w:val="44"/>
          <w:lang w:val="en-US" w:eastAsia="zh-CN"/>
        </w:rPr>
        <w:t>我为群众办实事</w:t>
      </w:r>
      <w:r>
        <w:rPr>
          <w:rFonts w:hint="eastAsia"/>
          <w:b/>
          <w:bCs/>
          <w:sz w:val="44"/>
          <w:szCs w:val="44"/>
          <w:lang w:eastAsia="zh-CN"/>
        </w:rPr>
        <w:t>”</w:t>
      </w:r>
      <w:r>
        <w:rPr>
          <w:rFonts w:hint="eastAsia"/>
          <w:b/>
          <w:bCs/>
          <w:sz w:val="44"/>
          <w:szCs w:val="44"/>
          <w:lang w:val="en-US" w:eastAsia="zh-CN"/>
        </w:rPr>
        <w:t>事项落实情况公示</w:t>
      </w:r>
    </w:p>
    <w:p>
      <w:pPr>
        <w:rPr>
          <w:rFonts w:hint="eastAsia"/>
          <w:sz w:val="32"/>
          <w:szCs w:val="32"/>
          <w:u w:val="single"/>
          <w:lang w:val="en-US" w:eastAsia="zh-CN"/>
        </w:rPr>
      </w:pPr>
    </w:p>
    <w:tbl>
      <w:tblPr>
        <w:tblStyle w:val="4"/>
        <w:tblpPr w:leftFromText="180" w:rightFromText="180" w:vertAnchor="text" w:horzAnchor="page" w:tblpX="1521" w:tblpY="195"/>
        <w:tblOverlap w:val="never"/>
        <w:tblW w:w="13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2640"/>
        <w:gridCol w:w="885"/>
        <w:gridCol w:w="4380"/>
        <w:gridCol w:w="5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jc w:val="center"/>
              <w:rPr>
                <w:rFonts w:hint="default"/>
                <w:b/>
                <w:bCs/>
                <w:sz w:val="28"/>
                <w:szCs w:val="28"/>
                <w:u w:val="none"/>
                <w:vertAlign w:val="baseline"/>
                <w:lang w:val="en-US" w:eastAsia="zh-CN"/>
              </w:rPr>
            </w:pPr>
            <w:r>
              <w:rPr>
                <w:rFonts w:hint="eastAsia"/>
                <w:b/>
                <w:bCs/>
                <w:sz w:val="28"/>
                <w:szCs w:val="28"/>
                <w:u w:val="none"/>
                <w:vertAlign w:val="baseline"/>
                <w:lang w:val="en-US" w:eastAsia="zh-CN"/>
              </w:rPr>
              <w:t>序号</w:t>
            </w:r>
          </w:p>
        </w:tc>
        <w:tc>
          <w:tcPr>
            <w:tcW w:w="2640" w:type="dxa"/>
            <w:vAlign w:val="center"/>
          </w:tcPr>
          <w:p>
            <w:pPr>
              <w:jc w:val="center"/>
              <w:rPr>
                <w:rFonts w:hint="default"/>
                <w:b/>
                <w:bCs/>
                <w:sz w:val="28"/>
                <w:szCs w:val="28"/>
                <w:u w:val="none"/>
                <w:vertAlign w:val="baseline"/>
                <w:lang w:val="en-US" w:eastAsia="zh-CN"/>
              </w:rPr>
            </w:pPr>
            <w:r>
              <w:rPr>
                <w:rFonts w:hint="eastAsia"/>
                <w:b/>
                <w:bCs/>
                <w:sz w:val="28"/>
                <w:szCs w:val="28"/>
                <w:u w:val="none"/>
                <w:vertAlign w:val="baseline"/>
                <w:lang w:val="en-US" w:eastAsia="zh-CN"/>
              </w:rPr>
              <w:t>事项名称</w:t>
            </w:r>
          </w:p>
        </w:tc>
        <w:tc>
          <w:tcPr>
            <w:tcW w:w="885" w:type="dxa"/>
            <w:vAlign w:val="center"/>
          </w:tcPr>
          <w:p>
            <w:pPr>
              <w:jc w:val="center"/>
              <w:rPr>
                <w:rFonts w:hint="default"/>
                <w:b/>
                <w:bCs/>
                <w:sz w:val="28"/>
                <w:szCs w:val="28"/>
                <w:u w:val="none"/>
                <w:vertAlign w:val="baseline"/>
                <w:lang w:val="en-US" w:eastAsia="zh-CN"/>
              </w:rPr>
            </w:pPr>
            <w:r>
              <w:rPr>
                <w:rFonts w:hint="eastAsia"/>
                <w:b/>
                <w:bCs/>
                <w:sz w:val="28"/>
                <w:szCs w:val="28"/>
                <w:u w:val="none"/>
                <w:vertAlign w:val="baseline"/>
                <w:lang w:val="en-US" w:eastAsia="zh-CN"/>
              </w:rPr>
              <w:t>是否办结</w:t>
            </w:r>
          </w:p>
        </w:tc>
        <w:tc>
          <w:tcPr>
            <w:tcW w:w="4380" w:type="dxa"/>
            <w:vAlign w:val="center"/>
          </w:tcPr>
          <w:p>
            <w:pPr>
              <w:jc w:val="center"/>
              <w:rPr>
                <w:rFonts w:hint="default"/>
                <w:b/>
                <w:bCs/>
                <w:sz w:val="28"/>
                <w:szCs w:val="28"/>
                <w:u w:val="none"/>
                <w:vertAlign w:val="baseline"/>
                <w:lang w:val="en-US" w:eastAsia="zh-CN"/>
              </w:rPr>
            </w:pPr>
            <w:r>
              <w:rPr>
                <w:rFonts w:hint="eastAsia"/>
                <w:b/>
                <w:bCs/>
                <w:sz w:val="28"/>
                <w:szCs w:val="28"/>
                <w:u w:val="none"/>
                <w:vertAlign w:val="baseline"/>
                <w:lang w:val="en-US" w:eastAsia="zh-CN"/>
              </w:rPr>
              <w:t>工作措施</w:t>
            </w:r>
          </w:p>
        </w:tc>
        <w:tc>
          <w:tcPr>
            <w:tcW w:w="5520" w:type="dxa"/>
            <w:vAlign w:val="center"/>
          </w:tcPr>
          <w:p>
            <w:pPr>
              <w:jc w:val="center"/>
              <w:rPr>
                <w:rFonts w:hint="default"/>
                <w:b/>
                <w:bCs/>
                <w:sz w:val="28"/>
                <w:szCs w:val="28"/>
                <w:u w:val="none"/>
                <w:vertAlign w:val="baseline"/>
                <w:lang w:val="en-US" w:eastAsia="zh-CN"/>
              </w:rPr>
            </w:pPr>
            <w:r>
              <w:rPr>
                <w:rFonts w:hint="eastAsia"/>
                <w:b/>
                <w:bCs/>
                <w:sz w:val="28"/>
                <w:szCs w:val="28"/>
                <w:u w:val="none"/>
                <w:vertAlign w:val="baseline"/>
                <w:lang w:val="en-US" w:eastAsia="zh-CN"/>
              </w:rPr>
              <w:t>工作成效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1</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师资不足问题</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bookmarkStart w:id="0" w:name="OLE_LINK1"/>
            <w:r>
              <w:rPr>
                <w:rStyle w:val="7"/>
                <w:rFonts w:hint="eastAsia" w:ascii="仿宋" w:hAnsi="仿宋" w:eastAsia="仿宋" w:cs="仿宋"/>
                <w:b w:val="0"/>
                <w:bCs w:val="0"/>
                <w:i w:val="0"/>
                <w:caps w:val="0"/>
                <w:color w:val="000000"/>
                <w:spacing w:val="0"/>
                <w:w w:val="100"/>
                <w:kern w:val="0"/>
                <w:sz w:val="24"/>
                <w:szCs w:val="24"/>
                <w:lang w:val="en-US" w:eastAsia="zh-CN"/>
              </w:rPr>
              <w:t>由各处室组织申报人才计划，决定面向社会招聘硕士及以上人才35人，本科及以上9人。</w:t>
            </w:r>
            <w:bookmarkEnd w:id="0"/>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5月13日， 董学友院长带队，赴南京师范大学引进硕士及以上高层次人才4人；5月25日汪汉新书记再赴广西师范大学开展人才招聘工作，引进6人，结束后，将未招到人员纳入全市“三级联考”招聘对象，有21个岗位有人报名，因疫情原因尚未开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2</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青年教师住房困难问题</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装修十二套教室公寓，共36个房间作为过渡性住房。</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解决了33名单身教师住宿难问题。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spacing w:val="0"/>
                <w:w w:val="100"/>
                <w:kern w:val="2"/>
                <w:sz w:val="24"/>
                <w:szCs w:val="24"/>
                <w:lang w:val="en-US" w:eastAsia="zh-CN" w:bidi="ar-SA"/>
              </w:rPr>
              <w:t>3</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大学生心理健康活动形式及内容较少，未建心理咨询室问题。</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Style w:val="7"/>
                <w:rFonts w:hint="eastAsia" w:ascii="仿宋" w:hAnsi="仿宋" w:eastAsia="仿宋" w:cs="仿宋"/>
                <w:b w:val="0"/>
                <w:bCs w:val="0"/>
                <w:i w:val="0"/>
                <w:caps w:val="0"/>
                <w:color w:val="000000"/>
                <w:spacing w:val="0"/>
                <w:w w:val="100"/>
                <w:kern w:val="0"/>
                <w:sz w:val="24"/>
                <w:szCs w:val="24"/>
                <w:lang w:val="en-US" w:eastAsia="zh-CN"/>
              </w:rPr>
            </w:pPr>
            <w:r>
              <w:rPr>
                <w:rStyle w:val="7"/>
                <w:rFonts w:hint="eastAsia" w:ascii="仿宋" w:hAnsi="仿宋" w:eastAsia="仿宋" w:cs="仿宋"/>
                <w:b w:val="0"/>
                <w:bCs w:val="0"/>
                <w:i w:val="0"/>
                <w:caps w:val="0"/>
                <w:color w:val="000000"/>
                <w:spacing w:val="0"/>
                <w:w w:val="100"/>
                <w:kern w:val="0"/>
                <w:sz w:val="24"/>
                <w:szCs w:val="24"/>
                <w:lang w:val="en-US" w:eastAsia="zh-CN"/>
              </w:rPr>
              <w:t>1.心理咨询室已完成并投入使用；</w:t>
            </w:r>
          </w:p>
          <w:p>
            <w:pPr>
              <w:widowControl/>
              <w:snapToGrid/>
              <w:spacing w:before="0" w:beforeAutospacing="0" w:after="0" w:afterAutospacing="0" w:line="240" w:lineRule="auto"/>
              <w:jc w:val="left"/>
              <w:textAlignment w:val="center"/>
              <w:rPr>
                <w:rStyle w:val="7"/>
                <w:rFonts w:hint="eastAsia" w:ascii="仿宋" w:hAnsi="仿宋" w:eastAsia="仿宋" w:cs="仿宋"/>
                <w:b w:val="0"/>
                <w:bCs w:val="0"/>
                <w:i w:val="0"/>
                <w:caps w:val="0"/>
                <w:color w:val="000000"/>
                <w:spacing w:val="0"/>
                <w:w w:val="100"/>
                <w:kern w:val="0"/>
                <w:sz w:val="24"/>
                <w:szCs w:val="24"/>
                <w:lang w:val="en-US" w:eastAsia="zh-CN"/>
              </w:rPr>
            </w:pPr>
            <w:r>
              <w:rPr>
                <w:rStyle w:val="7"/>
                <w:rFonts w:hint="eastAsia" w:ascii="仿宋" w:hAnsi="仿宋" w:eastAsia="仿宋" w:cs="仿宋"/>
                <w:b w:val="0"/>
                <w:bCs w:val="0"/>
                <w:i w:val="0"/>
                <w:caps w:val="0"/>
                <w:color w:val="000000"/>
                <w:spacing w:val="0"/>
                <w:w w:val="100"/>
                <w:kern w:val="0"/>
                <w:sz w:val="24"/>
                <w:szCs w:val="24"/>
                <w:lang w:val="en-US" w:eastAsia="zh-CN"/>
              </w:rPr>
              <w:t>2.组织开展班级心理健康排查工作；</w:t>
            </w:r>
          </w:p>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3.组织开展校园心理健康情景剧展演。</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心理咨询室投入使用以来已接6位学生咨询，共线下咨询12次</w:t>
            </w:r>
            <w:r>
              <w:rPr>
                <w:rStyle w:val="7"/>
                <w:rFonts w:hint="eastAsia" w:ascii="仿宋" w:hAnsi="仿宋" w:eastAsia="仿宋" w:cs="仿宋"/>
                <w:b w:val="0"/>
                <w:bCs w:val="0"/>
                <w:i w:val="0"/>
                <w:caps w:val="0"/>
                <w:color w:val="000000"/>
                <w:spacing w:val="0"/>
                <w:w w:val="100"/>
                <w:kern w:val="0"/>
                <w:sz w:val="24"/>
                <w:szCs w:val="24"/>
                <w:lang w:eastAsia="zh-CN"/>
              </w:rPr>
              <w:t>。</w:t>
            </w:r>
            <w:r>
              <w:rPr>
                <w:rStyle w:val="7"/>
                <w:rFonts w:hint="eastAsia" w:ascii="仿宋" w:hAnsi="仿宋" w:eastAsia="仿宋" w:cs="仿宋"/>
                <w:b w:val="0"/>
                <w:bCs w:val="0"/>
                <w:i w:val="0"/>
                <w:caps w:val="0"/>
                <w:color w:val="000000"/>
                <w:spacing w:val="0"/>
                <w:w w:val="100"/>
                <w:kern w:val="0"/>
                <w:sz w:val="24"/>
                <w:szCs w:val="24"/>
                <w:lang w:val="en-US" w:eastAsia="zh-CN"/>
              </w:rPr>
              <w:t>以及心理健康月活动</w:t>
            </w:r>
            <w:r>
              <w:rPr>
                <w:rStyle w:val="7"/>
                <w:rFonts w:hint="eastAsia" w:ascii="仿宋" w:hAnsi="仿宋" w:eastAsia="仿宋" w:cs="仿宋"/>
                <w:b w:val="0"/>
                <w:bCs w:val="0"/>
                <w:color w:val="000000"/>
                <w:kern w:val="0"/>
                <w:sz w:val="24"/>
                <w:szCs w:val="24"/>
              </w:rPr>
              <w:t>（</w:t>
            </w:r>
            <w:r>
              <w:rPr>
                <w:rStyle w:val="7"/>
                <w:rFonts w:hint="eastAsia" w:ascii="仿宋" w:hAnsi="仿宋" w:eastAsia="仿宋" w:cs="仿宋"/>
                <w:b w:val="0"/>
                <w:bCs w:val="0"/>
                <w:kern w:val="0"/>
                <w:sz w:val="24"/>
                <w:szCs w:val="24"/>
              </w:rPr>
              <w:t>“爱的抱抱”温暖校园行动和“爱情与成长”舒心自我行动</w:t>
            </w:r>
            <w:r>
              <w:rPr>
                <w:rStyle w:val="7"/>
                <w:rFonts w:hint="eastAsia" w:ascii="仿宋" w:hAnsi="仿宋" w:eastAsia="仿宋" w:cs="仿宋"/>
                <w:b w:val="0"/>
                <w:bCs w:val="0"/>
                <w:color w:val="000000"/>
                <w:kern w:val="0"/>
                <w:sz w:val="24"/>
                <w:szCs w:val="24"/>
              </w:rPr>
              <w:t>及签名活动等）</w:t>
            </w:r>
            <w:r>
              <w:rPr>
                <w:rStyle w:val="7"/>
                <w:rFonts w:hint="eastAsia" w:ascii="仿宋" w:hAnsi="仿宋" w:eastAsia="仿宋" w:cs="仿宋"/>
                <w:b w:val="0"/>
                <w:bCs w:val="0"/>
                <w:i w:val="0"/>
                <w:caps w:val="0"/>
                <w:color w:val="000000"/>
                <w:spacing w:val="0"/>
                <w:w w:val="1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spacing w:val="0"/>
                <w:w w:val="100"/>
                <w:kern w:val="2"/>
                <w:sz w:val="24"/>
                <w:szCs w:val="24"/>
                <w:lang w:val="en-US" w:eastAsia="zh-CN" w:bidi="ar-SA"/>
              </w:rPr>
              <w:t>4</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校园路灯缺少或不亮问题</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维修及增加校园路灯。</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后勤管理处已经采购一批灯板进行更换，并采购了五台太阳能路灯安装在食堂门口及图书馆、心理咨询室门口。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spacing w:val="0"/>
                <w:w w:val="100"/>
                <w:kern w:val="2"/>
                <w:sz w:val="24"/>
                <w:szCs w:val="24"/>
                <w:lang w:val="en-US" w:eastAsia="zh-CN" w:bidi="ar-SA"/>
              </w:rPr>
              <w:t>5</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校园草木较多，夏季蛇虫偏多</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numPr>
                <w:ilvl w:val="0"/>
                <w:numId w:val="1"/>
              </w:numPr>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开展文明校园创建，清理宿舍教学大楼等周边环境；2.开展校园安全主题班会，培训防护和应急处理知识。</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保卫处已设置相关警示牌，警告师生勿进入丛林深处，定期进行绿化并开展安全教育的主题班会。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6</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新冠疫苗接种效率不高</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积极对接当地卫生部门，安排师生尽早接种。</w:t>
            </w:r>
          </w:p>
        </w:tc>
        <w:tc>
          <w:tcPr>
            <w:tcW w:w="5520" w:type="dxa"/>
            <w:vAlign w:val="center"/>
          </w:tcPr>
          <w:p>
            <w:pPr>
              <w:spacing w:line="240" w:lineRule="auto"/>
              <w:jc w:val="left"/>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color w:val="000000"/>
                <w:kern w:val="0"/>
                <w:sz w:val="24"/>
                <w:szCs w:val="24"/>
              </w:rPr>
              <w:t>截止到6月份，已和婺源卫生部门对接，完成了在校生18周岁及以上人员的接种工作（个别身体禁忌的除外）。截止到9月份，完成了18周岁以下的在校生疫苗接种工作。做到了应接尽接。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spacing w:val="0"/>
                <w:w w:val="100"/>
                <w:kern w:val="2"/>
                <w:sz w:val="24"/>
                <w:szCs w:val="24"/>
                <w:lang w:val="en-US" w:eastAsia="zh-CN" w:bidi="ar-SA"/>
              </w:rPr>
              <w:t>7</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提升学术、科研氛围</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定期举办学术讲座，开展学术交流，开阔教师科研视野，提高教师科研能力。</w:t>
            </w:r>
          </w:p>
        </w:tc>
        <w:tc>
          <w:tcPr>
            <w:tcW w:w="5520" w:type="dxa"/>
            <w:vAlign w:val="center"/>
          </w:tcPr>
          <w:p>
            <w:pPr>
              <w:pStyle w:val="8"/>
              <w:keepNext w:val="0"/>
              <w:keepLines w:val="0"/>
              <w:pageBreakBefore w:val="0"/>
              <w:widowControl w:val="0"/>
              <w:numPr>
                <w:ilvl w:val="0"/>
                <w:numId w:val="0"/>
              </w:numPr>
              <w:tabs>
                <w:tab w:val="left" w:pos="1403"/>
              </w:tabs>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积极联系了相关专业的知名专家和企业专业来我院开师生感兴趣的方向的演讲，进一步激发师生的科研热情，了解前沿动态，开拓视野，获得了师生的一致好评。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spacing w:val="0"/>
                <w:w w:val="100"/>
                <w:kern w:val="2"/>
                <w:sz w:val="24"/>
                <w:szCs w:val="24"/>
                <w:lang w:val="en-US" w:eastAsia="zh-CN" w:bidi="ar-SA"/>
              </w:rPr>
              <w:t>8</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新入职教师培训方式单一</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Style w:val="7"/>
                <w:rFonts w:hint="eastAsia" w:ascii="仿宋" w:hAnsi="仿宋" w:eastAsia="仿宋" w:cs="仿宋"/>
                <w:b w:val="0"/>
                <w:bCs w:val="0"/>
                <w:i w:val="0"/>
                <w:caps w:val="0"/>
                <w:color w:val="000000"/>
                <w:spacing w:val="0"/>
                <w:w w:val="100"/>
                <w:kern w:val="0"/>
                <w:sz w:val="24"/>
                <w:szCs w:val="24"/>
                <w:lang w:val="en-US" w:eastAsia="zh-CN"/>
              </w:rPr>
            </w:pPr>
            <w:r>
              <w:rPr>
                <w:rStyle w:val="7"/>
                <w:rFonts w:hint="eastAsia" w:ascii="仿宋" w:hAnsi="仿宋" w:eastAsia="仿宋" w:cs="仿宋"/>
                <w:b w:val="0"/>
                <w:bCs w:val="0"/>
                <w:i w:val="0"/>
                <w:caps w:val="0"/>
                <w:color w:val="000000"/>
                <w:spacing w:val="0"/>
                <w:w w:val="100"/>
                <w:kern w:val="0"/>
                <w:sz w:val="24"/>
                <w:szCs w:val="24"/>
                <w:lang w:val="en-US" w:eastAsia="zh-CN"/>
              </w:rPr>
              <w:t>1.集中培训</w:t>
            </w:r>
          </w:p>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2.骨干教师一对一帮扶新教师，让他们尽快适应学校生活，提高教学和科研能力</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spacing w:val="0"/>
                <w:w w:val="100"/>
                <w:kern w:val="0"/>
                <w:sz w:val="24"/>
                <w:szCs w:val="24"/>
                <w:lang w:val="en-US" w:eastAsia="zh-CN"/>
              </w:rPr>
              <w:t>9月1日至4日进行了教职工集中培训，取得了较好的成效。并于9月份开始制定相关的“老带新”方案，该方案已于11月通过。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themeColor="text1"/>
                <w:spacing w:val="0"/>
                <w:w w:val="100"/>
                <w:kern w:val="2"/>
                <w:sz w:val="24"/>
                <w:szCs w:val="24"/>
                <w:lang w:val="en-US" w:eastAsia="zh-CN" w:bidi="ar-SA"/>
                <w14:textFill>
                  <w14:solidFill>
                    <w14:schemeClr w14:val="tx1"/>
                  </w14:solidFill>
                </w14:textFill>
              </w:rPr>
              <w:t>9</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规范公共场所管理</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建立公共场所借用制度，明确各场所负责人、责任部门</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联合了各个系部深入讨论，制定了公共场所的管理制度和开发计划，明确了相关责任人及责任部门的职责，取得了良好的效果。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10</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提升图书管管理服务</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1.加强管理；2.环境卫生需改善。</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明确图书馆管理岗位的工作职责并已聘请专业的物业公司进行清洁。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11</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教学课程设置与安排不合理，以及教师课时量不均衡。</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实行院系二级管理制度，系部建设要提上日程，并解决目前存在的诸多问题。</w:t>
            </w:r>
          </w:p>
        </w:tc>
        <w:tc>
          <w:tcPr>
            <w:tcW w:w="5520" w:type="dxa"/>
            <w:vAlign w:val="center"/>
          </w:tcPr>
          <w:p>
            <w:pPr>
              <w:pStyle w:val="8"/>
              <w:keepNext w:val="0"/>
              <w:keepLines w:val="0"/>
              <w:pageBreakBefore w:val="0"/>
              <w:widowControl w:val="0"/>
              <w:numPr>
                <w:ilvl w:val="0"/>
                <w:numId w:val="0"/>
              </w:numPr>
              <w:tabs>
                <w:tab w:val="left" w:pos="1403"/>
              </w:tabs>
              <w:kinsoku/>
              <w:wordWrap/>
              <w:overflowPunct/>
              <w:topLinePunct w:val="0"/>
              <w:autoSpaceDE w:val="0"/>
              <w:autoSpaceDN w:val="0"/>
              <w:bidi w:val="0"/>
              <w:adjustRightInd/>
              <w:snapToGrid/>
              <w:spacing w:before="0" w:after="0" w:line="240" w:lineRule="auto"/>
              <w:ind w:left="0" w:leftChars="0" w:right="0" w:rightChars="0" w:firstLine="0" w:firstLineChars="0"/>
              <w:jc w:val="left"/>
              <w:textAlignment w:val="auto"/>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eastAsia="zh-CN"/>
                <w14:textFill>
                  <w14:solidFill>
                    <w14:schemeClr w14:val="tx1"/>
                  </w14:solidFill>
                </w14:textFill>
              </w:rPr>
              <w:t>部分新晋教师课时量不足，</w:t>
            </w: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已</w:t>
            </w:r>
            <w:r>
              <w:rPr>
                <w:rStyle w:val="7"/>
                <w:rFonts w:hint="eastAsia" w:ascii="仿宋" w:hAnsi="仿宋" w:eastAsia="仿宋" w:cs="仿宋"/>
                <w:b w:val="0"/>
                <w:bCs w:val="0"/>
                <w:i w:val="0"/>
                <w:caps w:val="0"/>
                <w:color w:val="000000" w:themeColor="text1"/>
                <w:spacing w:val="0"/>
                <w:w w:val="100"/>
                <w:kern w:val="0"/>
                <w:sz w:val="24"/>
                <w:szCs w:val="24"/>
                <w:lang w:eastAsia="zh-CN"/>
                <w14:textFill>
                  <w14:solidFill>
                    <w14:schemeClr w14:val="tx1"/>
                  </w14:solidFill>
                </w14:textFill>
              </w:rPr>
              <w:t>安排其他相应的工作（课志室值日）。</w:t>
            </w: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以及2021年7月-8月教务处与各系部主任集中进行讨论，制定课程编码，制定出三年制和五年制的人才培养方案。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12</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专业老师缺少，部分教师专业水平不足，缺少系统的培训</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pPr>
            <w: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t>1.思政部教师集中备课</w:t>
            </w:r>
          </w:p>
          <w:p>
            <w:pPr>
              <w:widowControl/>
              <w:snapToGrid/>
              <w:spacing w:before="0" w:beforeAutospacing="0" w:after="0" w:afterAutospacing="0" w:line="240" w:lineRule="auto"/>
              <w:jc w:val="left"/>
              <w:textAlignment w:val="cente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pPr>
            <w: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t>2.教职工集中培训</w:t>
            </w:r>
          </w:p>
          <w:p>
            <w:pPr>
              <w:widowControl/>
              <w:snapToGrid/>
              <w:spacing w:before="0" w:beforeAutospacing="0" w:after="0" w:afterAutospacing="0" w:line="240" w:lineRule="auto"/>
              <w:jc w:val="left"/>
              <w:textAlignment w:val="cente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pPr>
            <w: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t>3.参与国培和省培</w:t>
            </w:r>
          </w:p>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6"/>
                <w:rFonts w:hint="eastAsia" w:ascii="仿宋" w:hAnsi="仿宋" w:eastAsia="仿宋" w:cs="仿宋"/>
                <w:b w:val="0"/>
                <w:bCs w:val="0"/>
                <w:i w:val="0"/>
                <w:iCs w:val="0"/>
                <w:caps w:val="0"/>
                <w:color w:val="000000" w:themeColor="text1"/>
                <w:spacing w:val="0"/>
                <w:sz w:val="24"/>
                <w:szCs w:val="24"/>
                <w:vertAlign w:val="baseline"/>
                <w:lang w:val="en-US" w:eastAsia="zh-CN"/>
                <w14:textFill>
                  <w14:solidFill>
                    <w14:schemeClr w14:val="tx1"/>
                  </w14:solidFill>
                </w14:textFill>
              </w:rPr>
              <w:t>4.外出学习</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2021年4月启动，协同暑期国培和省培项目，上报和选送符合要求的专业教师开展暑期系统培训项目，并于9月开始学院培训方案的编制任务，10月中旬完成学院教师发展方案、培训方案和“老带新”培训方案，11月于校长办公会议上通过相关方案并正式走发文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13</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大班课程纪律不好，上课效果不佳</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推崇小班教学。</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教务处进行分类处理，在课程教师充足的情况下进行了分成小班教学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14</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琴房、画室没有开放，无法课后练习</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教学设施划入系部管理，明确责任人员，完善琴房、画室等场所管理制度。</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制定了实训室开放管理制度和开发计划，鼓励学生课后主动去实训室学习，取得了良好的效果。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15</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寝室饮水机水质不好，需改善。</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对水质进行检查、并定期更换饮水机滤芯。</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后勤管理处积极联系长沙非同节能有限公司对学生宿舍的饮水机滤芯逐台进行更换。确保学生能喝上放心水、安全水。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16</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校园消防设施老旧缺少，存在安全隐患。</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检查更换消防设备，并定期检查。</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2021年6月18日，学院保卫处联合婺源县消防大队对学院教学楼、实训楼、办公楼、宿舍、图书馆、食堂等校园重点场所的灭火器、消防栓等消防设备进行了全面检查。本次学院共计更换干粉灭火器换粉199个，新增干粉灭火器42个，灭火箱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17</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寝室管理不够规范，大功率电器使用还存在。</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numPr>
                <w:ilvl w:val="0"/>
                <w:numId w:val="2"/>
              </w:numPr>
              <w:snapToGrid/>
              <w:spacing w:before="0" w:beforeAutospacing="0" w:after="0" w:afterAutospacing="0" w:line="240" w:lineRule="auto"/>
              <w:jc w:val="left"/>
              <w:textAlignment w:val="cente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定期开展安全教育班会；</w:t>
            </w:r>
          </w:p>
          <w:p>
            <w:pPr>
              <w:widowControl/>
              <w:numPr>
                <w:ilvl w:val="0"/>
                <w:numId w:val="2"/>
              </w:numPr>
              <w:snapToGrid/>
              <w:spacing w:before="0" w:beforeAutospacing="0" w:after="0" w:afterAutospacing="0" w:line="240" w:lineRule="auto"/>
              <w:ind w:left="0" w:leftChars="0" w:firstLine="0" w:firstLineChars="0"/>
              <w:jc w:val="left"/>
              <w:textAlignment w:val="cente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不定期组织班主任教官对宿舍大功率进行检查；</w:t>
            </w:r>
          </w:p>
          <w:p>
            <w:pPr>
              <w:widowControl/>
              <w:numPr>
                <w:ilvl w:val="0"/>
                <w:numId w:val="0"/>
              </w:numPr>
              <w:snapToGrid/>
              <w:spacing w:before="0" w:beforeAutospacing="0" w:after="0" w:afterAutospacing="0" w:line="240" w:lineRule="auto"/>
              <w:ind w:leftChars="0"/>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3.设定宿舍各寝室限定功率，超功率自动跳闸。</w:t>
            </w:r>
          </w:p>
        </w:tc>
        <w:tc>
          <w:tcPr>
            <w:tcW w:w="5520" w:type="dxa"/>
            <w:vAlign w:val="center"/>
          </w:tcPr>
          <w:p>
            <w:pPr>
              <w:pStyle w:val="2"/>
              <w:jc w:val="left"/>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后勤管理处积极联合学生工作处、保卫处不定期对学生宿舍进行安全检查。做到教育为主、处罚为辅，着实提高了学生的安全用电意识。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Fonts w:hint="eastAsia" w:ascii="仿宋" w:hAnsi="仿宋" w:eastAsia="仿宋" w:cs="仿宋"/>
                <w:b w:val="0"/>
                <w:bCs w:val="0"/>
                <w:i w:val="0"/>
                <w:caps w:val="0"/>
                <w:color w:val="000000" w:themeColor="text1"/>
                <w:spacing w:val="0"/>
                <w:w w:val="100"/>
                <w:kern w:val="0"/>
                <w:sz w:val="24"/>
                <w:szCs w:val="24"/>
                <w:lang w:val="en-US" w:eastAsia="zh-CN" w:bidi="ar-SA"/>
                <w14:textFill>
                  <w14:solidFill>
                    <w14:schemeClr w14:val="tx1"/>
                  </w14:solidFill>
                </w14:textFill>
              </w:rPr>
              <w:t>18</w:t>
            </w:r>
          </w:p>
        </w:tc>
        <w:tc>
          <w:tcPr>
            <w:tcW w:w="2640"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9"/>
                <w:rFonts w:hint="eastAsia" w:ascii="仿宋" w:hAnsi="仿宋" w:eastAsia="仿宋" w:cs="仿宋"/>
                <w:b w:val="0"/>
                <w:bCs w:val="0"/>
                <w:i w:val="0"/>
                <w:caps w:val="0"/>
                <w:color w:val="000000" w:themeColor="text1"/>
                <w:spacing w:val="0"/>
                <w:w w:val="100"/>
                <w:kern w:val="2"/>
                <w:sz w:val="24"/>
                <w:szCs w:val="24"/>
                <w:lang w:val="en-US" w:eastAsia="zh-CN"/>
                <w14:textFill>
                  <w14:solidFill>
                    <w14:schemeClr w14:val="tx1"/>
                  </w14:solidFill>
                </w14:textFill>
              </w:rPr>
              <w:t>食堂就餐位置不够，二楼食堂卫生较差，饭菜价格较高，菜品少。</w:t>
            </w:r>
          </w:p>
        </w:tc>
        <w:tc>
          <w:tcPr>
            <w:tcW w:w="885" w:type="dxa"/>
            <w:vAlign w:val="center"/>
          </w:tcPr>
          <w:p>
            <w:pPr>
              <w:widowControl/>
              <w:snapToGrid/>
              <w:spacing w:before="0" w:beforeAutospacing="0" w:after="0" w:afterAutospacing="0" w:line="240" w:lineRule="auto"/>
              <w:jc w:val="center"/>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i w:val="0"/>
                <w:caps w:val="0"/>
                <w:color w:val="000000"/>
                <w:spacing w:val="0"/>
                <w:w w:val="100"/>
                <w:kern w:val="0"/>
                <w:sz w:val="24"/>
                <w:szCs w:val="24"/>
                <w:lang w:val="en-US" w:eastAsia="zh-CN"/>
              </w:rPr>
              <w:t>是</w:t>
            </w:r>
          </w:p>
        </w:tc>
        <w:tc>
          <w:tcPr>
            <w:tcW w:w="438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对食堂二楼进行收回管理，增设食堂窗口，改善用餐环境。邀请师生共同监督食堂管理。</w:t>
            </w:r>
          </w:p>
        </w:tc>
        <w:tc>
          <w:tcPr>
            <w:tcW w:w="5520" w:type="dxa"/>
            <w:vAlign w:val="center"/>
          </w:tcPr>
          <w:p>
            <w:pPr>
              <w:widowControl/>
              <w:snapToGrid/>
              <w:spacing w:before="0" w:beforeAutospacing="0" w:after="0" w:afterAutospacing="0" w:line="240" w:lineRule="auto"/>
              <w:jc w:val="left"/>
              <w:textAlignment w:val="center"/>
              <w:rPr>
                <w:rFonts w:hint="eastAsia" w:ascii="仿宋" w:hAnsi="仿宋" w:eastAsia="仿宋" w:cs="仿宋"/>
                <w:b w:val="0"/>
                <w:i w:val="0"/>
                <w:caps w:val="0"/>
                <w:color w:val="000000"/>
                <w:spacing w:val="0"/>
                <w:w w:val="100"/>
                <w:kern w:val="0"/>
                <w:sz w:val="24"/>
                <w:szCs w:val="24"/>
                <w:lang w:val="en-US" w:eastAsia="zh-CN" w:bidi="ar-SA"/>
              </w:rPr>
            </w:pPr>
            <w:r>
              <w:rPr>
                <w:rStyle w:val="7"/>
                <w:rFonts w:hint="eastAsia" w:ascii="仿宋" w:hAnsi="仿宋" w:eastAsia="仿宋" w:cs="仿宋"/>
                <w:b w:val="0"/>
                <w:bCs w:val="0"/>
                <w:i w:val="0"/>
                <w:caps w:val="0"/>
                <w:color w:val="000000" w:themeColor="text1"/>
                <w:spacing w:val="0"/>
                <w:w w:val="100"/>
                <w:kern w:val="0"/>
                <w:sz w:val="24"/>
                <w:szCs w:val="24"/>
                <w:lang w:val="en-US" w:eastAsia="zh-CN"/>
                <w14:textFill>
                  <w14:solidFill>
                    <w14:schemeClr w14:val="tx1"/>
                  </w14:solidFill>
                </w14:textFill>
              </w:rPr>
              <w:t>2021年暑期，后勤管理处招标引进江西顺和建设工程有限公司对食堂二楼进行了重新改造装修；并通过政府采购，增设八人餐桌70套，及时解决师生座位少、就餐难等问题。</w:t>
            </w:r>
          </w:p>
        </w:tc>
      </w:tr>
    </w:tbl>
    <w:p>
      <w:pPr>
        <w:rPr>
          <w:rFonts w:hint="eastAsia" w:ascii="仿宋" w:hAnsi="仿宋" w:eastAsia="仿宋" w:cs="仿宋"/>
          <w:sz w:val="24"/>
          <w:szCs w:val="24"/>
          <w:u w:val="single"/>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7BF3F"/>
    <w:multiLevelType w:val="singleLevel"/>
    <w:tmpl w:val="1D27BF3F"/>
    <w:lvl w:ilvl="0" w:tentative="0">
      <w:start w:val="1"/>
      <w:numFmt w:val="decimal"/>
      <w:lvlText w:val="%1."/>
      <w:lvlJc w:val="left"/>
      <w:pPr>
        <w:tabs>
          <w:tab w:val="left" w:pos="312"/>
        </w:tabs>
      </w:pPr>
    </w:lvl>
  </w:abstractNum>
  <w:abstractNum w:abstractNumId="1">
    <w:nsid w:val="77A997D8"/>
    <w:multiLevelType w:val="singleLevel"/>
    <w:tmpl w:val="77A997D8"/>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D5218"/>
    <w:rsid w:val="02304E24"/>
    <w:rsid w:val="06F6110C"/>
    <w:rsid w:val="0CAA04D6"/>
    <w:rsid w:val="0DF82377"/>
    <w:rsid w:val="13D53825"/>
    <w:rsid w:val="199D155D"/>
    <w:rsid w:val="209D5218"/>
    <w:rsid w:val="217E14A6"/>
    <w:rsid w:val="22FD1376"/>
    <w:rsid w:val="2637307C"/>
    <w:rsid w:val="36DC6F0E"/>
    <w:rsid w:val="396D0A5D"/>
    <w:rsid w:val="3F0D3980"/>
    <w:rsid w:val="404E5824"/>
    <w:rsid w:val="41515031"/>
    <w:rsid w:val="4B2F1206"/>
    <w:rsid w:val="4BA30626"/>
    <w:rsid w:val="5A057A89"/>
    <w:rsid w:val="5FB9411A"/>
    <w:rsid w:val="60C509C5"/>
    <w:rsid w:val="630B320C"/>
    <w:rsid w:val="679348FA"/>
    <w:rsid w:val="6B610780"/>
    <w:rsid w:val="6F7D40E9"/>
    <w:rsid w:val="739B6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character" w:customStyle="1" w:styleId="7">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styleId="8">
    <w:name w:val="List Paragraph"/>
    <w:basedOn w:val="1"/>
    <w:qFormat/>
    <w:uiPriority w:val="1"/>
    <w:pPr>
      <w:ind w:left="440" w:firstLine="640"/>
    </w:pPr>
    <w:rPr>
      <w:rFonts w:ascii="仿宋_GB2312" w:hAnsi="仿宋_GB2312" w:eastAsia="仿宋_GB2312" w:cs="仿宋_GB2312"/>
      <w:lang w:val="zh-CN" w:eastAsia="zh-CN" w:bidi="zh-CN"/>
    </w:rPr>
  </w:style>
  <w:style w:type="character" w:customStyle="1" w:styleId="9">
    <w:name w:val="UserStyle_0"/>
    <w:basedOn w:val="7"/>
    <w:link w:val="1"/>
    <w:qFormat/>
    <w:uiPriority w:val="0"/>
    <w:rPr>
      <w:rFonts w:ascii="仿宋" w:hAnsi="仿宋" w:eastAsia="仿宋"/>
      <w:color w:val="00000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2021-11-19T08:57:00Z</dcterms:created>
  <dc:creator>DYP</dc:creator>
  <cp:lastModifiedBy>yoyo</cp:lastModifiedBy>
  <dcterms:modified xsi:type="dcterms:W3CDTF">2021-12-02T03:06:51Z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AEB74108BF3A4D5F810AC6A3D55E33E0</vt:lpwstr>
  </property>
</Properties>
</file>